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E67" w:rsidRPr="009E0082" w:rsidRDefault="00F36E67" w:rsidP="00F36E67">
      <w:pPr>
        <w:pStyle w:val="Heading1"/>
        <w:shd w:val="clear" w:color="auto" w:fill="548DD4"/>
        <w:jc w:val="center"/>
        <w:rPr>
          <w:rFonts w:cs="Calibri"/>
          <w:b w:val="0"/>
          <w:caps w:val="0"/>
          <w:szCs w:val="20"/>
        </w:rPr>
      </w:pPr>
      <w:bookmarkStart w:id="0" w:name="_Toc36108658"/>
      <w:bookmarkStart w:id="1" w:name="_Toc36124792"/>
      <w:bookmarkStart w:id="2" w:name="_Toc46855946"/>
      <w:bookmarkStart w:id="3" w:name="_Toc46882099"/>
      <w:bookmarkStart w:id="4" w:name="_Hlk36109059"/>
      <w:r w:rsidRPr="009E0082">
        <w:rPr>
          <w:rFonts w:cs="Calibri"/>
          <w:sz w:val="20"/>
          <w:szCs w:val="20"/>
        </w:rPr>
        <w:t xml:space="preserve">Appendix </w:t>
      </w:r>
      <w:proofErr w:type="gramStart"/>
      <w:r w:rsidRPr="009E0082">
        <w:rPr>
          <w:rFonts w:cs="Calibri"/>
          <w:sz w:val="20"/>
          <w:szCs w:val="20"/>
        </w:rPr>
        <w:t>E</w:t>
      </w:r>
      <w:r>
        <w:rPr>
          <w:rFonts w:cs="Calibri"/>
          <w:sz w:val="20"/>
          <w:szCs w:val="20"/>
        </w:rPr>
        <w:t xml:space="preserve"> </w:t>
      </w:r>
      <w:r w:rsidRPr="009E0082">
        <w:rPr>
          <w:rFonts w:cs="Calibri"/>
          <w:sz w:val="20"/>
          <w:szCs w:val="20"/>
        </w:rPr>
        <w:t xml:space="preserve"> |</w:t>
      </w:r>
      <w:proofErr w:type="gramEnd"/>
      <w:r w:rsidRPr="009E0082">
        <w:rPr>
          <w:rFonts w:cs="Calibri"/>
          <w:sz w:val="20"/>
          <w:szCs w:val="20"/>
        </w:rPr>
        <w:t xml:space="preserve">  Project summary matrix</w:t>
      </w:r>
      <w:bookmarkEnd w:id="0"/>
      <w:r w:rsidRPr="009E0082">
        <w:rPr>
          <w:rFonts w:cs="Calibri"/>
          <w:sz w:val="20"/>
          <w:szCs w:val="20"/>
        </w:rPr>
        <w:t xml:space="preserve"> (FOR EACH DEVELOPMENT PROPOSAL, IF APPLICABLE)</w:t>
      </w:r>
      <w:bookmarkEnd w:id="1"/>
      <w:bookmarkEnd w:id="2"/>
      <w:bookmarkEnd w:id="3"/>
    </w:p>
    <w:bookmarkEnd w:id="4"/>
    <w:p w:rsidR="00F36E67" w:rsidRPr="009E0082" w:rsidRDefault="00F36E67" w:rsidP="00F36E67">
      <w:pPr>
        <w:jc w:val="center"/>
      </w:pPr>
    </w:p>
    <w:tbl>
      <w:tblPr>
        <w:tblW w:w="7259"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5318"/>
      </w:tblGrid>
      <w:tr w:rsidR="00F36E67" w:rsidRPr="009E0082" w:rsidTr="003E5E96">
        <w:trPr>
          <w:trHeigh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Total NNN rent net </w:t>
            </w:r>
            <w:r>
              <w:rPr>
                <w:rFonts w:ascii="Arial Narrow" w:hAnsi="Arial Narrow"/>
                <w:color w:val="000000"/>
                <w:szCs w:val="20"/>
              </w:rPr>
              <w:t>Square Feet (“</w:t>
            </w:r>
            <w:r w:rsidRPr="009E0082">
              <w:rPr>
                <w:rFonts w:ascii="Arial Narrow" w:hAnsi="Arial Narrow"/>
                <w:color w:val="000000"/>
                <w:szCs w:val="20"/>
              </w:rPr>
              <w:t>SF</w:t>
            </w:r>
            <w:r>
              <w:rPr>
                <w:rFonts w:ascii="Arial Narrow" w:hAnsi="Arial Narrow"/>
                <w:color w:val="000000"/>
                <w:szCs w:val="20"/>
              </w:rPr>
              <w:t>”)</w:t>
            </w:r>
            <w:r w:rsidRPr="009E0082">
              <w:rPr>
                <w:rFonts w:ascii="Arial Narrow" w:hAnsi="Arial Narrow"/>
                <w:color w:val="000000"/>
                <w:szCs w:val="20"/>
              </w:rPr>
              <w:t xml:space="preserve"> (retail or other)</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F</w:t>
            </w:r>
            <w:r>
              <w:rPr>
                <w:rFonts w:ascii="Arial Narrow" w:hAnsi="Arial Narrow"/>
                <w:color w:val="000000"/>
                <w:szCs w:val="20"/>
              </w:rPr>
              <w:t>ull Service (“F</w:t>
            </w:r>
            <w:r w:rsidRPr="009E0082">
              <w:rPr>
                <w:rFonts w:ascii="Arial Narrow" w:hAnsi="Arial Narrow"/>
                <w:color w:val="000000"/>
                <w:szCs w:val="20"/>
              </w:rPr>
              <w:t>S</w:t>
            </w:r>
            <w:r>
              <w:rPr>
                <w:rFonts w:ascii="Arial Narrow" w:hAnsi="Arial Narrow"/>
                <w:color w:val="000000"/>
                <w:szCs w:val="20"/>
              </w:rPr>
              <w:t xml:space="preserve">”) </w:t>
            </w:r>
            <w:r w:rsidRPr="009E0082">
              <w:rPr>
                <w:rFonts w:ascii="Arial Narrow" w:hAnsi="Arial Narrow"/>
                <w:color w:val="000000"/>
                <w:szCs w:val="20"/>
              </w:rPr>
              <w:t>or modified FS rent net SF (commercial office)</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FS or modified FS rent net SF (institutional)</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gross floor area of project (exclusive of parking)</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Lot occupancy</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levels below grade parking</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parking spaces</w:t>
            </w:r>
          </w:p>
        </w:tc>
      </w:tr>
      <w:tr w:rsidR="00F36E67" w:rsidRPr="009E0082" w:rsidTr="003E5E96">
        <w:trPr>
          <w:trHeight w:hRule="exact" w:val="279"/>
        </w:trPr>
        <w:tc>
          <w:tcPr>
            <w:tcW w:w="1941" w:type="dxa"/>
            <w:shd w:val="clear" w:color="auto" w:fill="auto"/>
            <w:noWrap/>
            <w:vAlign w:val="center"/>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development cost of each parking space</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gross residential SF (please note if any residential is below ground)</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net residential SF</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project hard costs including construction contingency</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project soft costs including developer fee and all interest</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project development costs (</w:t>
            </w:r>
            <w:r>
              <w:rPr>
                <w:rFonts w:ascii="Arial Narrow" w:hAnsi="Arial Narrow"/>
                <w:color w:val="000000"/>
                <w:szCs w:val="20"/>
              </w:rPr>
              <w:t>“</w:t>
            </w:r>
            <w:r w:rsidRPr="009E0082">
              <w:rPr>
                <w:rFonts w:ascii="Arial Narrow" w:hAnsi="Arial Narrow"/>
                <w:color w:val="000000"/>
                <w:szCs w:val="20"/>
              </w:rPr>
              <w:t>TDC</w:t>
            </w:r>
            <w:r>
              <w:rPr>
                <w:rFonts w:ascii="Arial Narrow" w:hAnsi="Arial Narrow"/>
                <w:color w:val="000000"/>
                <w:szCs w:val="20"/>
              </w:rPr>
              <w:t>”</w:t>
            </w:r>
            <w:r w:rsidRPr="009E0082">
              <w:rPr>
                <w:rFonts w:ascii="Arial Narrow" w:hAnsi="Arial Narrow"/>
                <w:color w:val="000000"/>
                <w:szCs w:val="20"/>
              </w:rPr>
              <w:t>)</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developer fee at closing (excluding deferred developer fee)</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deferred developer fee (if applicable)</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Discount rate to calculate net present value (</w:t>
            </w:r>
            <w:r>
              <w:rPr>
                <w:rFonts w:ascii="Arial Narrow" w:hAnsi="Arial Narrow"/>
                <w:color w:val="000000"/>
                <w:szCs w:val="20"/>
              </w:rPr>
              <w:t>“</w:t>
            </w:r>
            <w:r w:rsidRPr="009E0082">
              <w:rPr>
                <w:rFonts w:ascii="Arial Narrow" w:hAnsi="Arial Narrow"/>
                <w:color w:val="000000"/>
                <w:szCs w:val="20"/>
              </w:rPr>
              <w:t>NPV</w:t>
            </w:r>
            <w:r>
              <w:rPr>
                <w:rFonts w:ascii="Arial Narrow" w:hAnsi="Arial Narrow"/>
                <w:color w:val="000000"/>
                <w:szCs w:val="20"/>
              </w:rPr>
              <w:t>”</w:t>
            </w:r>
            <w:r w:rsidRPr="009E0082">
              <w:rPr>
                <w:rFonts w:ascii="Arial Narrow" w:hAnsi="Arial Narrow"/>
                <w:color w:val="000000"/>
                <w:szCs w:val="20"/>
              </w:rPr>
              <w:t>) of deferred developer fee</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LIHTC equity (if applicable)</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LIHTC price and rate (if applicable)</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developer equity (sponsor equity)</w:t>
            </w:r>
          </w:p>
        </w:tc>
      </w:tr>
      <w:tr w:rsidR="00F36E67" w:rsidRPr="009E0082" w:rsidTr="003E5E96">
        <w:trPr>
          <w:trHeight w:hRule="exact" w:val="279"/>
        </w:trPr>
        <w:tc>
          <w:tcPr>
            <w:tcW w:w="1941" w:type="dxa"/>
            <w:shd w:val="clear" w:color="auto" w:fill="auto"/>
            <w:noWrap/>
            <w:vAlign w:val="center"/>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mezzanine equity (non-sponsor equity)</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construction loan</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Construction loan to equity ratio (i.e. 65/35, 60/40)</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Years to stabilization (construction start to end of lease/sale period)</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Annual stabilized cash flow available for debt service pre-tax (</w:t>
            </w:r>
            <w:r>
              <w:rPr>
                <w:rFonts w:ascii="Arial Narrow" w:hAnsi="Arial Narrow"/>
                <w:color w:val="000000"/>
                <w:szCs w:val="20"/>
              </w:rPr>
              <w:t>“</w:t>
            </w:r>
            <w:r w:rsidRPr="009E0082">
              <w:rPr>
                <w:rFonts w:ascii="Arial Narrow" w:hAnsi="Arial Narrow"/>
                <w:color w:val="000000"/>
                <w:szCs w:val="20"/>
              </w:rPr>
              <w:t>NOI</w:t>
            </w:r>
            <w:r>
              <w:rPr>
                <w:rFonts w:ascii="Arial Narrow" w:hAnsi="Arial Narrow"/>
                <w:color w:val="000000"/>
                <w:szCs w:val="20"/>
              </w:rPr>
              <w:t>”</w:t>
            </w:r>
            <w:r w:rsidRPr="009E0082">
              <w:rPr>
                <w:rFonts w:ascii="Arial Narrow" w:hAnsi="Arial Narrow"/>
                <w:color w:val="000000"/>
                <w:szCs w:val="20"/>
              </w:rPr>
              <w:t>)</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Capitalization rate for residential</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Capitalization rate for commercial/office (if applicable)</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Capitalization rate for retail (if applicable)</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Capitalization rate for institutional (if applicable)</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Capitalization rate for hotel (if applicable)</w:t>
            </w:r>
          </w:p>
        </w:tc>
      </w:tr>
      <w:tr w:rsidR="00F36E67" w:rsidRPr="009E0082" w:rsidTr="003E5E96">
        <w:trPr>
          <w:trHeight w:hRule="exact" w:val="279"/>
        </w:trPr>
        <w:tc>
          <w:tcPr>
            <w:tcW w:w="1941" w:type="dxa"/>
            <w:shd w:val="clear" w:color="auto" w:fill="auto"/>
            <w:noWrap/>
            <w:vAlign w:val="center"/>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Minimum required debt service coverage ratio </w:t>
            </w:r>
            <w:proofErr w:type="gramStart"/>
            <w:r w:rsidRPr="009E0082">
              <w:rPr>
                <w:rFonts w:ascii="Arial Narrow" w:hAnsi="Arial Narrow"/>
                <w:color w:val="000000"/>
                <w:szCs w:val="20"/>
              </w:rPr>
              <w:t xml:space="preserve">( </w:t>
            </w:r>
            <w:r>
              <w:rPr>
                <w:rFonts w:ascii="Arial Narrow" w:hAnsi="Arial Narrow"/>
                <w:color w:val="000000"/>
                <w:szCs w:val="20"/>
              </w:rPr>
              <w:t>“</w:t>
            </w:r>
            <w:proofErr w:type="gramEnd"/>
            <w:r w:rsidRPr="009E0082">
              <w:rPr>
                <w:rFonts w:ascii="Arial Narrow" w:hAnsi="Arial Narrow"/>
                <w:color w:val="000000"/>
                <w:szCs w:val="20"/>
              </w:rPr>
              <w:t>DSCR</w:t>
            </w:r>
            <w:r>
              <w:rPr>
                <w:rFonts w:ascii="Arial Narrow" w:hAnsi="Arial Narrow"/>
                <w:color w:val="000000"/>
                <w:szCs w:val="20"/>
              </w:rPr>
              <w:t>"</w:t>
            </w:r>
            <w:r w:rsidRPr="009E0082">
              <w:rPr>
                <w:rFonts w:ascii="Arial Narrow" w:hAnsi="Arial Narrow"/>
                <w:color w:val="000000"/>
                <w:szCs w:val="20"/>
              </w:rPr>
              <w:t>)</w:t>
            </w:r>
          </w:p>
        </w:tc>
      </w:tr>
      <w:tr w:rsidR="00F36E67" w:rsidRPr="009E0082" w:rsidTr="003E5E96">
        <w:trPr>
          <w:trHeight w:hRule="exact" w:val="279"/>
        </w:trPr>
        <w:tc>
          <w:tcPr>
            <w:tcW w:w="1941" w:type="dxa"/>
            <w:shd w:val="clear" w:color="auto" w:fill="auto"/>
            <w:noWrap/>
            <w:vAlign w:val="center"/>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Modeled DSCR</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Minimum required internal rate of return (</w:t>
            </w:r>
            <w:r>
              <w:rPr>
                <w:rFonts w:ascii="Arial Narrow" w:hAnsi="Arial Narrow"/>
                <w:color w:val="000000"/>
                <w:szCs w:val="20"/>
              </w:rPr>
              <w:t>“</w:t>
            </w:r>
            <w:r w:rsidRPr="009E0082">
              <w:rPr>
                <w:rFonts w:ascii="Arial Narrow" w:hAnsi="Arial Narrow"/>
                <w:color w:val="000000"/>
                <w:szCs w:val="20"/>
              </w:rPr>
              <w:t>IRR</w:t>
            </w:r>
            <w:r>
              <w:rPr>
                <w:rFonts w:ascii="Arial Narrow" w:hAnsi="Arial Narrow"/>
                <w:color w:val="000000"/>
                <w:szCs w:val="20"/>
              </w:rPr>
              <w:t>”</w:t>
            </w:r>
            <w:r w:rsidRPr="009E0082">
              <w:rPr>
                <w:rFonts w:ascii="Arial Narrow" w:hAnsi="Arial Narrow"/>
                <w:color w:val="000000"/>
                <w:szCs w:val="20"/>
              </w:rPr>
              <w:t>)</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Modeled IRR</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Minimum required equity multiple</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Modeled equity multiple</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development costs per rental residential unit</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development costs per for sale residential unit</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development costs of the retail component only</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Total net retail </w:t>
            </w:r>
            <w:r>
              <w:rPr>
                <w:rFonts w:ascii="Arial Narrow" w:hAnsi="Arial Narrow"/>
                <w:color w:val="000000"/>
                <w:szCs w:val="20"/>
              </w:rPr>
              <w:t>SF</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development costs of the commercial office component only</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Total net commercial office </w:t>
            </w:r>
            <w:r>
              <w:rPr>
                <w:rFonts w:ascii="Arial Narrow" w:hAnsi="Arial Narrow"/>
                <w:color w:val="000000"/>
                <w:szCs w:val="20"/>
              </w:rPr>
              <w:t>SF</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development costs of the hotel unit component only</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hotel keys</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development costs of the institutional unit component only</w:t>
            </w:r>
          </w:p>
        </w:tc>
      </w:tr>
      <w:tr w:rsidR="00F36E67" w:rsidRPr="009E0082" w:rsidTr="003E5E96">
        <w:trPr>
          <w:trHeight w:hRule="exact" w:val="279"/>
        </w:trPr>
        <w:tc>
          <w:tcPr>
            <w:tcW w:w="1941" w:type="dxa"/>
            <w:shd w:val="clear" w:color="auto" w:fill="auto"/>
            <w:noWrap/>
            <w:vAlign w:val="center"/>
            <w:hideMark/>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Total net institutional </w:t>
            </w:r>
            <w:r>
              <w:rPr>
                <w:rFonts w:ascii="Arial Narrow" w:hAnsi="Arial Narrow"/>
                <w:color w:val="000000"/>
                <w:szCs w:val="20"/>
              </w:rPr>
              <w:t>SF</w:t>
            </w:r>
          </w:p>
        </w:tc>
      </w:tr>
      <w:tr w:rsidR="00F36E67" w:rsidRPr="009E0082" w:rsidTr="003E5E96">
        <w:trPr>
          <w:trHeight w:hRule="exact" w:val="279"/>
        </w:trPr>
        <w:tc>
          <w:tcPr>
            <w:tcW w:w="1941" w:type="dxa"/>
            <w:shd w:val="clear" w:color="auto" w:fill="auto"/>
            <w:noWrap/>
            <w:vAlign w:val="center"/>
          </w:tcPr>
          <w:p w:rsidR="00F36E67" w:rsidRPr="009E0082" w:rsidRDefault="00F36E67" w:rsidP="003E5E96">
            <w:pPr>
              <w:jc w:val="center"/>
              <w:rPr>
                <w:rFonts w:ascii="Arial Narrow" w:hAnsi="Arial Narrow"/>
                <w:color w:val="000000"/>
                <w:szCs w:val="20"/>
              </w:rPr>
            </w:pPr>
          </w:p>
        </w:tc>
        <w:tc>
          <w:tcPr>
            <w:tcW w:w="5318" w:type="dxa"/>
            <w:shd w:val="clear" w:color="auto" w:fill="auto"/>
            <w:noWrap/>
            <w:vAlign w:val="center"/>
          </w:tcPr>
          <w:p w:rsidR="00F36E67" w:rsidRPr="009E0082" w:rsidRDefault="00F36E67" w:rsidP="003E5E96">
            <w:pPr>
              <w:jc w:val="left"/>
              <w:rPr>
                <w:rFonts w:ascii="Arial Narrow" w:hAnsi="Arial Narrow"/>
                <w:color w:val="000000"/>
                <w:szCs w:val="20"/>
              </w:rPr>
            </w:pPr>
            <w:bookmarkStart w:id="5" w:name="_GoBack"/>
            <w:bookmarkEnd w:id="5"/>
          </w:p>
        </w:tc>
      </w:tr>
    </w:tbl>
    <w:p w:rsidR="00F36E67" w:rsidRPr="009E0082" w:rsidRDefault="00F36E67" w:rsidP="00F36E67">
      <w:pPr>
        <w:pStyle w:val="Heading1"/>
        <w:shd w:val="clear" w:color="auto" w:fill="548DD4"/>
        <w:jc w:val="center"/>
        <w:rPr>
          <w:rFonts w:cs="Calibri"/>
          <w:sz w:val="20"/>
          <w:szCs w:val="20"/>
        </w:rPr>
      </w:pPr>
      <w:bookmarkStart w:id="6" w:name="_Toc36108659"/>
      <w:bookmarkStart w:id="7" w:name="_Toc36124793"/>
      <w:bookmarkStart w:id="8" w:name="_Toc46855947"/>
      <w:bookmarkStart w:id="9" w:name="_Toc46882100"/>
      <w:bookmarkStart w:id="10" w:name="_Hlk36109073"/>
      <w:r w:rsidRPr="009E0082">
        <w:rPr>
          <w:rFonts w:cs="Calibri"/>
          <w:sz w:val="20"/>
          <w:szCs w:val="20"/>
        </w:rPr>
        <w:lastRenderedPageBreak/>
        <w:t xml:space="preserve">Appendix </w:t>
      </w:r>
      <w:proofErr w:type="gramStart"/>
      <w:r w:rsidRPr="009E0082">
        <w:rPr>
          <w:rFonts w:cs="Calibri"/>
          <w:sz w:val="20"/>
          <w:szCs w:val="20"/>
        </w:rPr>
        <w:t xml:space="preserve">F </w:t>
      </w:r>
      <w:r>
        <w:rPr>
          <w:rFonts w:cs="Calibri"/>
          <w:sz w:val="20"/>
          <w:szCs w:val="20"/>
        </w:rPr>
        <w:t xml:space="preserve"> </w:t>
      </w:r>
      <w:r w:rsidRPr="009E0082">
        <w:rPr>
          <w:rFonts w:cs="Calibri"/>
          <w:sz w:val="20"/>
          <w:szCs w:val="20"/>
        </w:rPr>
        <w:t>|</w:t>
      </w:r>
      <w:proofErr w:type="gramEnd"/>
      <w:r w:rsidRPr="009E0082">
        <w:rPr>
          <w:rFonts w:cs="Calibri"/>
          <w:sz w:val="20"/>
          <w:szCs w:val="20"/>
        </w:rPr>
        <w:t xml:space="preserve">  residential matrix</w:t>
      </w:r>
      <w:bookmarkEnd w:id="6"/>
      <w:bookmarkEnd w:id="7"/>
      <w:bookmarkEnd w:id="8"/>
      <w:bookmarkEnd w:id="9"/>
    </w:p>
    <w:bookmarkEnd w:id="10"/>
    <w:p w:rsidR="00F36E67" w:rsidRPr="009E0082" w:rsidRDefault="00F36E67" w:rsidP="00F36E67">
      <w:pPr>
        <w:jc w:val="center"/>
      </w:pPr>
    </w:p>
    <w:tbl>
      <w:tblPr>
        <w:tblW w:w="3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2655"/>
      </w:tblGrid>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Type of units (rental or for sale)</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project residential units</w:t>
            </w:r>
          </w:p>
        </w:tc>
      </w:tr>
      <w:tr w:rsidR="00F36E67" w:rsidRPr="009E0082" w:rsidTr="003E5E96">
        <w:trPr>
          <w:trHeight w:val="288"/>
          <w:jc w:val="center"/>
        </w:trPr>
        <w:tc>
          <w:tcPr>
            <w:tcW w:w="765" w:type="dxa"/>
            <w:shd w:val="clear" w:color="auto" w:fill="auto"/>
            <w:vAlign w:val="center"/>
          </w:tcPr>
          <w:p w:rsidR="00F36E67" w:rsidRPr="009E0082" w:rsidRDefault="00F36E67" w:rsidP="003E5E96">
            <w:pPr>
              <w:jc w:val="center"/>
              <w:rPr>
                <w:rFonts w:ascii="Arial Narrow" w:hAnsi="Arial Narrow"/>
                <w:color w:val="000000"/>
                <w:szCs w:val="20"/>
              </w:rPr>
            </w:pPr>
          </w:p>
        </w:tc>
        <w:tc>
          <w:tcPr>
            <w:tcW w:w="2655" w:type="dxa"/>
            <w:shd w:val="clear" w:color="auto" w:fill="auto"/>
            <w:vAlign w:val="center"/>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market units</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Total ADU units</w:t>
            </w:r>
            <w:r>
              <w:rPr>
                <w:rStyle w:val="FootnoteReference"/>
                <w:rFonts w:ascii="Arial Narrow" w:hAnsi="Arial Narrow"/>
                <w:color w:val="000000"/>
                <w:szCs w:val="20"/>
              </w:rPr>
              <w:footnoteReference w:id="1"/>
            </w:r>
          </w:p>
        </w:tc>
      </w:tr>
      <w:tr w:rsidR="00F36E67" w:rsidRPr="009E0082" w:rsidTr="003E5E96">
        <w:trPr>
          <w:trHeight w:val="288"/>
          <w:jc w:val="center"/>
        </w:trPr>
        <w:tc>
          <w:tcPr>
            <w:tcW w:w="765" w:type="dxa"/>
            <w:shd w:val="clear" w:color="auto" w:fill="auto"/>
            <w:vAlign w:val="center"/>
          </w:tcPr>
          <w:p w:rsidR="00F36E67" w:rsidRPr="009E0082" w:rsidRDefault="00F36E67" w:rsidP="003E5E96">
            <w:pPr>
              <w:jc w:val="center"/>
              <w:rPr>
                <w:rFonts w:ascii="Arial Narrow" w:hAnsi="Arial Narrow"/>
                <w:color w:val="000000"/>
                <w:szCs w:val="20"/>
              </w:rPr>
            </w:pPr>
          </w:p>
        </w:tc>
        <w:tc>
          <w:tcPr>
            <w:tcW w:w="2655" w:type="dxa"/>
            <w:shd w:val="clear" w:color="auto" w:fill="auto"/>
            <w:vAlign w:val="center"/>
          </w:tcPr>
          <w:p w:rsidR="00F36E67" w:rsidRPr="009E0082" w:rsidRDefault="00F36E67" w:rsidP="003E5E96">
            <w:pPr>
              <w:jc w:val="left"/>
              <w:rPr>
                <w:rFonts w:ascii="Arial Narrow" w:hAnsi="Arial Narrow"/>
                <w:color w:val="000000"/>
                <w:szCs w:val="20"/>
              </w:rPr>
            </w:pP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Studio @ market</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1BR @ market </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2BR @ market</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3BR @ market</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4BR @ market </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Studio @30% </w:t>
            </w:r>
            <w:r>
              <w:rPr>
                <w:rFonts w:ascii="Arial Narrow" w:hAnsi="Arial Narrow"/>
                <w:color w:val="000000"/>
                <w:szCs w:val="20"/>
              </w:rPr>
              <w:t>MFI</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1BR @30% </w:t>
            </w:r>
            <w:r>
              <w:rPr>
                <w:rFonts w:ascii="Arial Narrow" w:hAnsi="Arial Narrow"/>
                <w:color w:val="000000"/>
                <w:szCs w:val="20"/>
              </w:rPr>
              <w:t>MFI</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2BR @30% </w:t>
            </w:r>
            <w:r>
              <w:rPr>
                <w:rFonts w:ascii="Arial Narrow" w:hAnsi="Arial Narrow"/>
                <w:color w:val="000000"/>
                <w:szCs w:val="20"/>
              </w:rPr>
              <w:t>MFI</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3BR @30% </w:t>
            </w:r>
            <w:r>
              <w:rPr>
                <w:rFonts w:ascii="Arial Narrow" w:hAnsi="Arial Narrow"/>
                <w:color w:val="000000"/>
                <w:szCs w:val="20"/>
              </w:rPr>
              <w:t>MFI</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4BR @30% </w:t>
            </w:r>
            <w:r>
              <w:rPr>
                <w:rFonts w:ascii="Arial Narrow" w:hAnsi="Arial Narrow"/>
                <w:color w:val="000000"/>
                <w:szCs w:val="20"/>
              </w:rPr>
              <w:t>MFI</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Studio @50% </w:t>
            </w:r>
            <w:r>
              <w:rPr>
                <w:rFonts w:ascii="Arial Narrow" w:hAnsi="Arial Narrow"/>
                <w:color w:val="000000"/>
                <w:szCs w:val="20"/>
              </w:rPr>
              <w:t>MFI</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1BR @50% </w:t>
            </w:r>
            <w:r>
              <w:rPr>
                <w:rFonts w:ascii="Arial Narrow" w:hAnsi="Arial Narrow"/>
                <w:color w:val="000000"/>
                <w:szCs w:val="20"/>
              </w:rPr>
              <w:t>MFI</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2BR @50% </w:t>
            </w:r>
            <w:r>
              <w:rPr>
                <w:rFonts w:ascii="Arial Narrow" w:hAnsi="Arial Narrow"/>
                <w:color w:val="000000"/>
                <w:szCs w:val="20"/>
              </w:rPr>
              <w:t>MFI</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3BR @50% </w:t>
            </w:r>
            <w:r>
              <w:rPr>
                <w:rFonts w:ascii="Arial Narrow" w:hAnsi="Arial Narrow"/>
                <w:color w:val="000000"/>
                <w:szCs w:val="20"/>
              </w:rPr>
              <w:t>MFI</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4BR @50% </w:t>
            </w:r>
            <w:r>
              <w:rPr>
                <w:rFonts w:ascii="Arial Narrow" w:hAnsi="Arial Narrow"/>
                <w:color w:val="000000"/>
                <w:szCs w:val="20"/>
              </w:rPr>
              <w:t>MFI</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Studio @60% </w:t>
            </w:r>
            <w:r>
              <w:rPr>
                <w:rFonts w:ascii="Arial Narrow" w:hAnsi="Arial Narrow"/>
                <w:color w:val="000000"/>
                <w:szCs w:val="20"/>
              </w:rPr>
              <w:t>MFI</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1BR @60% </w:t>
            </w:r>
            <w:r>
              <w:rPr>
                <w:rFonts w:ascii="Arial Narrow" w:hAnsi="Arial Narrow"/>
                <w:color w:val="000000"/>
                <w:szCs w:val="20"/>
              </w:rPr>
              <w:t>MFI</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2BR @60% </w:t>
            </w:r>
            <w:r>
              <w:rPr>
                <w:rFonts w:ascii="Arial Narrow" w:hAnsi="Arial Narrow"/>
                <w:color w:val="000000"/>
                <w:szCs w:val="20"/>
              </w:rPr>
              <w:t>MFI</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3BR @60% </w:t>
            </w:r>
            <w:r>
              <w:rPr>
                <w:rFonts w:ascii="Arial Narrow" w:hAnsi="Arial Narrow"/>
                <w:color w:val="000000"/>
                <w:szCs w:val="20"/>
              </w:rPr>
              <w:t>MFI</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4BR @60% </w:t>
            </w:r>
            <w:r>
              <w:rPr>
                <w:rFonts w:ascii="Arial Narrow" w:hAnsi="Arial Narrow"/>
                <w:color w:val="000000"/>
                <w:szCs w:val="20"/>
              </w:rPr>
              <w:t>MFI</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Studio @80% </w:t>
            </w:r>
            <w:r>
              <w:rPr>
                <w:rFonts w:ascii="Arial Narrow" w:hAnsi="Arial Narrow"/>
                <w:color w:val="000000"/>
                <w:szCs w:val="20"/>
              </w:rPr>
              <w:t>MFI</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1BR @80% </w:t>
            </w:r>
            <w:r>
              <w:rPr>
                <w:rFonts w:ascii="Arial Narrow" w:hAnsi="Arial Narrow"/>
                <w:color w:val="000000"/>
                <w:szCs w:val="20"/>
              </w:rPr>
              <w:t>MFI</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2BR @80% </w:t>
            </w:r>
            <w:r>
              <w:rPr>
                <w:rFonts w:ascii="Arial Narrow" w:hAnsi="Arial Narrow"/>
                <w:color w:val="000000"/>
                <w:szCs w:val="20"/>
              </w:rPr>
              <w:t>MFI</w:t>
            </w:r>
          </w:p>
        </w:tc>
      </w:tr>
      <w:tr w:rsidR="00F36E67" w:rsidRPr="009E008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9E0082" w:rsidRDefault="00F36E67" w:rsidP="003E5E96">
            <w:pPr>
              <w:jc w:val="left"/>
              <w:rPr>
                <w:rFonts w:ascii="Arial Narrow" w:hAnsi="Arial Narrow"/>
                <w:color w:val="000000"/>
                <w:szCs w:val="20"/>
              </w:rPr>
            </w:pPr>
            <w:r w:rsidRPr="009E0082">
              <w:rPr>
                <w:rFonts w:ascii="Arial Narrow" w:hAnsi="Arial Narrow"/>
                <w:color w:val="000000"/>
                <w:szCs w:val="20"/>
              </w:rPr>
              <w:t xml:space="preserve">3BR @80% </w:t>
            </w:r>
            <w:r>
              <w:rPr>
                <w:rFonts w:ascii="Arial Narrow" w:hAnsi="Arial Narrow"/>
                <w:color w:val="000000"/>
                <w:szCs w:val="20"/>
              </w:rPr>
              <w:t>MFI</w:t>
            </w:r>
          </w:p>
        </w:tc>
      </w:tr>
      <w:tr w:rsidR="00F36E67" w:rsidRPr="009A7F02" w:rsidTr="003E5E96">
        <w:trPr>
          <w:trHeight w:val="288"/>
          <w:jc w:val="center"/>
        </w:trPr>
        <w:tc>
          <w:tcPr>
            <w:tcW w:w="765" w:type="dxa"/>
            <w:shd w:val="clear" w:color="auto" w:fill="auto"/>
            <w:vAlign w:val="center"/>
            <w:hideMark/>
          </w:tcPr>
          <w:p w:rsidR="00F36E67" w:rsidRPr="009E0082" w:rsidRDefault="00F36E67" w:rsidP="003E5E96">
            <w:pPr>
              <w:jc w:val="center"/>
              <w:rPr>
                <w:rFonts w:ascii="Arial Narrow" w:hAnsi="Arial Narrow"/>
                <w:color w:val="000000"/>
                <w:szCs w:val="20"/>
              </w:rPr>
            </w:pPr>
            <w:r w:rsidRPr="009E0082">
              <w:rPr>
                <w:rFonts w:ascii="Arial Narrow" w:hAnsi="Arial Narrow"/>
                <w:color w:val="000000"/>
                <w:szCs w:val="20"/>
              </w:rPr>
              <w:t> </w:t>
            </w:r>
          </w:p>
        </w:tc>
        <w:tc>
          <w:tcPr>
            <w:tcW w:w="2655" w:type="dxa"/>
            <w:shd w:val="clear" w:color="auto" w:fill="auto"/>
            <w:vAlign w:val="center"/>
            <w:hideMark/>
          </w:tcPr>
          <w:p w:rsidR="00F36E67" w:rsidRPr="004E18C4" w:rsidRDefault="00F36E67" w:rsidP="003E5E96">
            <w:pPr>
              <w:jc w:val="left"/>
              <w:rPr>
                <w:rFonts w:ascii="Arial Narrow" w:hAnsi="Arial Narrow"/>
                <w:color w:val="000000"/>
                <w:szCs w:val="20"/>
              </w:rPr>
            </w:pPr>
            <w:r w:rsidRPr="009E0082">
              <w:rPr>
                <w:rFonts w:ascii="Arial Narrow" w:hAnsi="Arial Narrow"/>
                <w:color w:val="000000"/>
                <w:szCs w:val="20"/>
              </w:rPr>
              <w:t xml:space="preserve">4BR @80% </w:t>
            </w:r>
            <w:r>
              <w:rPr>
                <w:rFonts w:ascii="Arial Narrow" w:hAnsi="Arial Narrow"/>
                <w:color w:val="000000"/>
                <w:szCs w:val="20"/>
              </w:rPr>
              <w:t>MFI</w:t>
            </w:r>
          </w:p>
        </w:tc>
      </w:tr>
    </w:tbl>
    <w:p w:rsidR="00F36E67" w:rsidRDefault="00F36E67" w:rsidP="00F36E67">
      <w:pPr>
        <w:jc w:val="center"/>
      </w:pPr>
    </w:p>
    <w:sectPr w:rsidR="00F36E67" w:rsidSect="00F36E67">
      <w:headerReference w:type="even" r:id="rId6"/>
      <w:headerReference w:type="default" r:id="rId7"/>
      <w:footerReference w:type="default" r:id="rId8"/>
      <w:pgSz w:w="12240" w:h="15840"/>
      <w:pgMar w:top="432" w:right="1008" w:bottom="720" w:left="1008" w:header="720" w:footer="720" w:gutter="0"/>
      <w:pgBorders w:offsetFrom="page">
        <w:top w:val="single" w:sz="4" w:space="24" w:color="auto"/>
        <w:left w:val="single" w:sz="4" w:space="24" w:color="auto"/>
        <w:bottom w:val="single" w:sz="4" w:space="24" w:color="auto"/>
        <w:right w:val="single" w:sz="4" w:space="24"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E67" w:rsidRDefault="00F36E67" w:rsidP="00F36E67">
      <w:r>
        <w:separator/>
      </w:r>
    </w:p>
  </w:endnote>
  <w:endnote w:type="continuationSeparator" w:id="0">
    <w:p w:rsidR="00F36E67" w:rsidRDefault="00F36E67" w:rsidP="00F3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8CF" w:rsidRDefault="00F36E67" w:rsidP="00996708">
    <w:pPr>
      <w:pStyle w:val="Footer"/>
      <w:jc w:val="center"/>
    </w:pPr>
    <w:r>
      <w:t>Hill East Phase II Development</w:t>
    </w:r>
    <w:r>
      <w:t xml:space="preserve"> </w:t>
    </w:r>
    <w:r>
      <w:fldChar w:fldCharType="begin"/>
    </w:r>
    <w:r>
      <w:instrText xml:space="preserve"> PAGE   \* MERGEFORMAT </w:instrText>
    </w:r>
    <w:r>
      <w:fldChar w:fldCharType="separate"/>
    </w:r>
    <w:r>
      <w:rPr>
        <w:noProof/>
      </w:rPr>
      <w:t>- 10 -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E67" w:rsidRDefault="00F36E67" w:rsidP="00F36E67">
      <w:r>
        <w:separator/>
      </w:r>
    </w:p>
  </w:footnote>
  <w:footnote w:type="continuationSeparator" w:id="0">
    <w:p w:rsidR="00F36E67" w:rsidRDefault="00F36E67" w:rsidP="00F36E67">
      <w:r>
        <w:continuationSeparator/>
      </w:r>
    </w:p>
  </w:footnote>
  <w:footnote w:id="1">
    <w:p w:rsidR="00F36E67" w:rsidRPr="003E5E96" w:rsidRDefault="00F36E67" w:rsidP="00F36E67">
      <w:pPr>
        <w:pStyle w:val="FootnoteText"/>
        <w:rPr>
          <w:rFonts w:ascii="Arial Narrow" w:hAnsi="Arial Narrow"/>
        </w:rPr>
      </w:pPr>
      <w:r>
        <w:rPr>
          <w:rStyle w:val="FootnoteReference"/>
        </w:rPr>
        <w:footnoteRef/>
      </w:r>
      <w:r>
        <w:t xml:space="preserve"> </w:t>
      </w:r>
      <w:r>
        <w:rPr>
          <w:rFonts w:ascii="Arial Narrow" w:hAnsi="Arial Narrow"/>
        </w:rPr>
        <w:t>The District requires that all proposed ADUs be income and price restricted by recording an ADU Covenant on the Development Parcel at Closing in order to be considered ADUs in comparison calculations and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8CF" w:rsidRDefault="00F36E67">
    <w:pPr>
      <w:pStyle w:val="Header"/>
    </w:pPr>
  </w:p>
  <w:p w:rsidR="002C48CF" w:rsidRDefault="00F36E67"/>
  <w:p w:rsidR="002C48CF" w:rsidRDefault="00F36E67"/>
  <w:p w:rsidR="002C48CF" w:rsidRDefault="00F36E67"/>
  <w:p w:rsidR="002C48CF" w:rsidRDefault="00F36E67"/>
  <w:p w:rsidR="002C48CF" w:rsidRDefault="00F36E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8CF" w:rsidRDefault="00F36E67">
    <w:pPr>
      <w:pStyle w:val="Header"/>
    </w:pPr>
  </w:p>
  <w:p w:rsidR="002C48CF" w:rsidRDefault="00F36E67">
    <w:pPr>
      <w:pStyle w:val="Header"/>
    </w:pPr>
  </w:p>
  <w:p w:rsidR="002C48CF" w:rsidRDefault="00F36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67"/>
    <w:rsid w:val="00EC743C"/>
    <w:rsid w:val="00F3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F4BF"/>
  <w15:chartTrackingRefBased/>
  <w15:docId w15:val="{EB882C6B-194E-432C-9A2E-DA628A60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67"/>
    <w:pPr>
      <w:spacing w:after="0" w:line="240" w:lineRule="auto"/>
      <w:jc w:val="both"/>
    </w:pPr>
    <w:rPr>
      <w:rFonts w:ascii="Calibri" w:eastAsia="Times New Roman" w:hAnsi="Calibri" w:cs="Times New Roman"/>
      <w:sz w:val="20"/>
      <w:szCs w:val="24"/>
    </w:rPr>
  </w:style>
  <w:style w:type="paragraph" w:styleId="Heading1">
    <w:name w:val="heading 1"/>
    <w:basedOn w:val="Normal"/>
    <w:link w:val="Heading1Char"/>
    <w:uiPriority w:val="99"/>
    <w:qFormat/>
    <w:rsid w:val="00F36E67"/>
    <w:pPr>
      <w:shd w:val="clear" w:color="auto" w:fill="31849B"/>
      <w:outlineLvl w:val="0"/>
    </w:pPr>
    <w:rPr>
      <w:b/>
      <w:caps/>
      <w:color w:val="FFFFFF"/>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6E67"/>
    <w:rPr>
      <w:rFonts w:ascii="Calibri" w:eastAsia="Times New Roman" w:hAnsi="Calibri" w:cs="Times New Roman"/>
      <w:b/>
      <w:caps/>
      <w:color w:val="FFFFFF"/>
      <w:sz w:val="32"/>
      <w:shd w:val="clear" w:color="auto" w:fill="31849B"/>
    </w:rPr>
  </w:style>
  <w:style w:type="paragraph" w:styleId="Header">
    <w:name w:val="header"/>
    <w:basedOn w:val="Normal"/>
    <w:link w:val="HeaderChar"/>
    <w:uiPriority w:val="99"/>
    <w:rsid w:val="00F36E67"/>
    <w:pPr>
      <w:tabs>
        <w:tab w:val="center" w:pos="4320"/>
        <w:tab w:val="right" w:pos="8640"/>
      </w:tabs>
    </w:pPr>
  </w:style>
  <w:style w:type="character" w:customStyle="1" w:styleId="HeaderChar">
    <w:name w:val="Header Char"/>
    <w:basedOn w:val="DefaultParagraphFont"/>
    <w:link w:val="Header"/>
    <w:uiPriority w:val="99"/>
    <w:rsid w:val="00F36E67"/>
    <w:rPr>
      <w:rFonts w:ascii="Calibri" w:eastAsia="Times New Roman" w:hAnsi="Calibri" w:cs="Times New Roman"/>
      <w:sz w:val="20"/>
      <w:szCs w:val="24"/>
    </w:rPr>
  </w:style>
  <w:style w:type="paragraph" w:styleId="Footer">
    <w:name w:val="footer"/>
    <w:basedOn w:val="Normal"/>
    <w:link w:val="FooterChar"/>
    <w:uiPriority w:val="99"/>
    <w:rsid w:val="00F36E67"/>
    <w:pPr>
      <w:tabs>
        <w:tab w:val="center" w:pos="4320"/>
        <w:tab w:val="right" w:pos="8640"/>
      </w:tabs>
    </w:pPr>
  </w:style>
  <w:style w:type="character" w:customStyle="1" w:styleId="FooterChar">
    <w:name w:val="Footer Char"/>
    <w:basedOn w:val="DefaultParagraphFont"/>
    <w:link w:val="Footer"/>
    <w:uiPriority w:val="99"/>
    <w:rsid w:val="00F36E67"/>
    <w:rPr>
      <w:rFonts w:ascii="Calibri" w:eastAsia="Times New Roman" w:hAnsi="Calibri" w:cs="Times New Roman"/>
      <w:sz w:val="20"/>
      <w:szCs w:val="24"/>
    </w:rPr>
  </w:style>
  <w:style w:type="paragraph" w:styleId="FootnoteText">
    <w:name w:val="footnote text"/>
    <w:basedOn w:val="Normal"/>
    <w:link w:val="FootnoteTextChar"/>
    <w:uiPriority w:val="99"/>
    <w:rsid w:val="00F36E67"/>
    <w:rPr>
      <w:szCs w:val="20"/>
    </w:rPr>
  </w:style>
  <w:style w:type="character" w:customStyle="1" w:styleId="FootnoteTextChar">
    <w:name w:val="Footnote Text Char"/>
    <w:basedOn w:val="DefaultParagraphFont"/>
    <w:link w:val="FootnoteText"/>
    <w:uiPriority w:val="99"/>
    <w:rsid w:val="00F36E67"/>
    <w:rPr>
      <w:rFonts w:ascii="Calibri" w:eastAsia="Times New Roman" w:hAnsi="Calibri" w:cs="Times New Roman"/>
      <w:sz w:val="20"/>
      <w:szCs w:val="20"/>
    </w:rPr>
  </w:style>
  <w:style w:type="character" w:styleId="FootnoteReference">
    <w:name w:val="footnote reference"/>
    <w:uiPriority w:val="99"/>
    <w:rsid w:val="00F36E6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Daryl (EOM)</dc:creator>
  <cp:keywords/>
  <dc:description/>
  <cp:lastModifiedBy>Thomas, Daryl (EOM)</cp:lastModifiedBy>
  <cp:revision>1</cp:revision>
  <dcterms:created xsi:type="dcterms:W3CDTF">2020-11-18T23:38:00Z</dcterms:created>
  <dcterms:modified xsi:type="dcterms:W3CDTF">2020-11-18T23:42:00Z</dcterms:modified>
</cp:coreProperties>
</file>